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A4B6" w14:textId="60E82C7B" w:rsidR="00100053" w:rsidRPr="00BC1C6B" w:rsidRDefault="00100053" w:rsidP="00100053">
      <w:pPr>
        <w:rPr>
          <w:b/>
          <w:bCs/>
        </w:rPr>
      </w:pPr>
      <w:r w:rsidRPr="00BC1C6B">
        <w:rPr>
          <w:b/>
          <w:bCs/>
        </w:rPr>
        <w:t>Prof</w:t>
      </w:r>
      <w:r w:rsidR="00DD5DED">
        <w:rPr>
          <w:b/>
          <w:bCs/>
        </w:rPr>
        <w:t>essor</w:t>
      </w:r>
      <w:r w:rsidRPr="00BC1C6B">
        <w:rPr>
          <w:b/>
          <w:bCs/>
        </w:rPr>
        <w:t xml:space="preserve"> Paul Michel Mertes, Neuromuscular Blocking Agent [NMBA] Anaphylaxis after Pholcodine.</w:t>
      </w:r>
    </w:p>
    <w:p w14:paraId="4591CBEF" w14:textId="77777777" w:rsidR="00100053" w:rsidRDefault="00100053" w:rsidP="00100053">
      <w:pPr>
        <w:rPr>
          <w:b/>
          <w:bCs/>
        </w:rPr>
      </w:pPr>
      <w:r w:rsidRPr="00BC1C6B">
        <w:rPr>
          <w:b/>
          <w:bCs/>
        </w:rPr>
        <w:t xml:space="preserve">This is a transcript of the above talk presented </w:t>
      </w:r>
      <w:r>
        <w:rPr>
          <w:b/>
          <w:bCs/>
        </w:rPr>
        <w:t xml:space="preserve">online </w:t>
      </w:r>
      <w:r w:rsidRPr="00BC1C6B">
        <w:rPr>
          <w:b/>
          <w:bCs/>
        </w:rPr>
        <w:t>at the ISPAR AGM on 14/11/2025</w:t>
      </w:r>
    </w:p>
    <w:p w14:paraId="0549664C" w14:textId="77777777" w:rsidR="00100053" w:rsidRDefault="00100053" w:rsidP="00100053">
      <w:pPr>
        <w:rPr>
          <w:rStyle w:val="Emphasis"/>
        </w:rPr>
      </w:pPr>
      <w:r>
        <w:rPr>
          <w:rStyle w:val="Strong"/>
        </w:rPr>
        <w:t>ISPAR Transcript Publication Notice</w:t>
      </w:r>
      <w:r>
        <w:br/>
      </w:r>
      <w:r>
        <w:rPr>
          <w:rStyle w:val="Emphasis"/>
        </w:rPr>
        <w:t>This transcript has been lightly edited for clarity and readability. It is published with the permission of the presenter. The views expressed are those of the speaker and do not necessarily reflect those of ISPAR or its members. The content is provided for educational purposes only and does not constitute clinical guidance or professional advice. [2025] International Suspected Perioperative Allergic Reaction Group [ISPA]. All rights reserved.</w:t>
      </w:r>
    </w:p>
    <w:p w14:paraId="17DCB3B4" w14:textId="38CE91E4" w:rsidR="00100053" w:rsidRPr="00100053" w:rsidRDefault="00100053" w:rsidP="00100053">
      <w:pPr>
        <w:rPr>
          <w:b/>
          <w:bCs/>
        </w:rPr>
      </w:pPr>
      <w:bookmarkStart w:id="0" w:name="OLE_LINK3"/>
      <w:r w:rsidRPr="00100053">
        <w:rPr>
          <w:b/>
          <w:bCs/>
        </w:rPr>
        <w:t xml:space="preserve">Summary of Main </w:t>
      </w:r>
      <w:bookmarkEnd w:id="0"/>
      <w:r w:rsidRPr="00100053">
        <w:rPr>
          <w:b/>
          <w:bCs/>
        </w:rPr>
        <w:t>Points</w:t>
      </w:r>
    </w:p>
    <w:p w14:paraId="23612752" w14:textId="089A0C9E" w:rsidR="00100053" w:rsidRPr="00100053" w:rsidRDefault="00E54526" w:rsidP="00100053">
      <w:pPr>
        <w:pStyle w:val="ListParagraph"/>
        <w:numPr>
          <w:ilvl w:val="0"/>
          <w:numId w:val="2"/>
        </w:numPr>
        <w:spacing w:after="0" w:line="240" w:lineRule="auto"/>
      </w:pPr>
      <w:r>
        <w:t xml:space="preserve">The widespread </w:t>
      </w:r>
      <w:r w:rsidR="00100053" w:rsidRPr="00100053">
        <w:t xml:space="preserve">withdrawal </w:t>
      </w:r>
      <w:r>
        <w:t xml:space="preserve">of </w:t>
      </w:r>
      <w:r w:rsidRPr="00100053">
        <w:t xml:space="preserve">Pholcodine </w:t>
      </w:r>
      <w:r>
        <w:t xml:space="preserve">in affected countries </w:t>
      </w:r>
      <w:r w:rsidR="00100053" w:rsidRPr="00100053">
        <w:t>will help reduce NMBA anaphylaxis but won't eliminate all cases</w:t>
      </w:r>
      <w:r>
        <w:t>.</w:t>
      </w:r>
    </w:p>
    <w:p w14:paraId="612E4722" w14:textId="265100DF" w:rsidR="00100053" w:rsidRPr="00100053" w:rsidRDefault="00100053" w:rsidP="00100053">
      <w:pPr>
        <w:numPr>
          <w:ilvl w:val="0"/>
          <w:numId w:val="2"/>
        </w:numPr>
        <w:spacing w:after="0" w:line="240" w:lineRule="auto"/>
      </w:pPr>
      <w:r w:rsidRPr="00100053">
        <w:t>New tools and approaches are needed to identify other sensitizing agents</w:t>
      </w:r>
      <w:r w:rsidR="00E54526">
        <w:t xml:space="preserve"> to NMBAs.</w:t>
      </w:r>
    </w:p>
    <w:p w14:paraId="476BD518" w14:textId="44D5B8E0" w:rsidR="00100053" w:rsidRPr="00100053" w:rsidRDefault="00100053" w:rsidP="00100053">
      <w:pPr>
        <w:numPr>
          <w:ilvl w:val="0"/>
          <w:numId w:val="2"/>
        </w:numPr>
        <w:spacing w:after="0" w:line="240" w:lineRule="auto"/>
      </w:pPr>
      <w:r w:rsidRPr="00100053">
        <w:t xml:space="preserve">Epidemiological data is needed to confirm </w:t>
      </w:r>
      <w:r w:rsidR="00E54526">
        <w:t xml:space="preserve">a </w:t>
      </w:r>
      <w:r w:rsidRPr="00100053">
        <w:t>reduction in reactions</w:t>
      </w:r>
      <w:r w:rsidR="00E54526">
        <w:t xml:space="preserve"> in the post-Pholcodine era </w:t>
      </w:r>
      <w:r w:rsidRPr="00100053">
        <w:t>and explore patient characteristics</w:t>
      </w:r>
      <w:r w:rsidR="00E54526">
        <w:t xml:space="preserve"> in the data.</w:t>
      </w:r>
    </w:p>
    <w:p w14:paraId="7625CE1D" w14:textId="57138779" w:rsidR="00100053" w:rsidRPr="00100053" w:rsidRDefault="00E54526" w:rsidP="00100053">
      <w:pPr>
        <w:pStyle w:val="ListParagraph"/>
        <w:numPr>
          <w:ilvl w:val="0"/>
          <w:numId w:val="2"/>
        </w:numPr>
        <w:rPr>
          <w:rStyle w:val="Emphasis"/>
          <w:i w:val="0"/>
          <w:iCs w:val="0"/>
        </w:rPr>
      </w:pPr>
      <w:r>
        <w:t>Continued r</w:t>
      </w:r>
      <w:r w:rsidR="00100053" w:rsidRPr="00100053">
        <w:t>esearch on NMBA-antibody interactions may lead to safer NMBAs</w:t>
      </w:r>
    </w:p>
    <w:p w14:paraId="6BE6163F" w14:textId="787EEF3F" w:rsidR="00100053" w:rsidRDefault="00DD5DED" w:rsidP="00100053">
      <w:r>
        <w:rPr>
          <w:b/>
          <w:bCs/>
        </w:rPr>
        <w:t xml:space="preserve">Professor Mertes: </w:t>
      </w:r>
      <w:r w:rsidR="00100053">
        <w:t xml:space="preserve">“So dear friends and colleagues, I'm really pleased to discuss with you briefly about sensitization to NMBAs. I will summarize where we are and perhaps where we can go in the future. I have several conflicts of interest [see slide for disclosures], but I think that I'm not really supported by any pharmaceutical companies. So, I hope I have an independent view. </w:t>
      </w:r>
    </w:p>
    <w:p w14:paraId="74F06845" w14:textId="77777777" w:rsidR="00100053" w:rsidRDefault="00100053" w:rsidP="00100053">
      <w:r>
        <w:t xml:space="preserve">As you know, it's quite a long story since the first case of hypersensitivity to an NMBA was reported in 1949. And we had to wait until a meeting in the 1980’s in Nancy with Marie-Claire </w:t>
      </w:r>
      <w:proofErr w:type="spellStart"/>
      <w:r>
        <w:t>Laxenaire</w:t>
      </w:r>
      <w:proofErr w:type="spellEnd"/>
      <w:r>
        <w:t xml:space="preserve">, John Watkins, and so many other people we'll discuss to establish the first basic principle of how to investigate these reactions using skin testing and biological assays, as well as to try to develop an approach to identify the mechanisms behind the reactions. I think that all this work has been very important as we work now on beta-lactams and it has given to us new insights into the way small molecules can be involved in immunological reactions. We faced several points of immunological dogma when we began. I think the first step was the work done by Malcolm Fisher and Brian Baldo, who identified in the 80s that substitute ammonium ions were at least part of the allergic determinants of NMBAs. Their work was derived from what they observed with their patients; they identified alcuronium-reactive antibodies and that these antibodies cross-reacted with other muscle relaxants, as well as with many other different drugs. Using very nice structural activity studies, they showed that quaternary ammonium ions were involved in the recognition of the NMBAs </w:t>
      </w:r>
      <w:r>
        <w:lastRenderedPageBreak/>
        <w:t>by the antibodies. They formulated the first hypothesis of a possible sensitization through compounds which were not related to NMBAs. And many things became progressively clear. The first idea they shared with us was that, as considered at that time, multivalent joint carrier complex was a requirement, but in fact NMBA did not bind to plasma proteins. And they also noticed that, of course, the distance between the substituted ammonium ions was something between 1 to 1.45 nanometres, and that this distance is essential for the neuromuscular blocking activity. I imagined at that time that the bi-valency of NMBAs could play a role in the allergen-induced reactions made by NMBAs.</w:t>
      </w:r>
    </w:p>
    <w:p w14:paraId="45DD02CC" w14:textId="77777777" w:rsidR="00100053" w:rsidRDefault="00100053" w:rsidP="00100053">
      <w:r>
        <w:t>But of course, they considered that the theory of an environmental sensitizer would be very difficult to prove since so many compounds contain substituted ammonium ions. In addition, only a small number of cases of anaphylaxis were reported with these compounds. However, it was evident that there was an issue of cross-reactivity since many reactions were observed to occur at first exposure to NMBAs, and this has been clearly identified by many teams, I guess.</w:t>
      </w:r>
    </w:p>
    <w:p w14:paraId="4AC11CF5" w14:textId="77777777" w:rsidR="00100053" w:rsidRDefault="00100053" w:rsidP="00100053">
      <w:r w:rsidRPr="00BC1C6B">
        <w:t xml:space="preserve">We rapidly realized that skin tests could be aligned to the scientific research, and that as well as substituted ammonium variants other </w:t>
      </w:r>
      <w:proofErr w:type="spellStart"/>
      <w:r w:rsidRPr="00BC1C6B">
        <w:t>neighboring</w:t>
      </w:r>
      <w:proofErr w:type="spellEnd"/>
      <w:r w:rsidRPr="00BC1C6B">
        <w:t xml:space="preserve"> groups can be also involved,</w:t>
      </w:r>
      <w:r>
        <w:t xml:space="preserve"> explaining the reactivity between the different muscle relaxants. And then we arrived rapidly at the Pholcodine hypothesis due to the work conducted by </w:t>
      </w:r>
      <w:proofErr w:type="spellStart"/>
      <w:r>
        <w:t>Florvaag</w:t>
      </w:r>
      <w:proofErr w:type="spellEnd"/>
      <w:r>
        <w:t xml:space="preserve"> and Johansson in Norway and Sweden concerning Pholcodine. And they emphasize in the first papers that in fact Pholcodine was some somewhere bivalent with two substituted ammonium ions.</w:t>
      </w:r>
    </w:p>
    <w:p w14:paraId="6D80BC77" w14:textId="77777777" w:rsidR="00100053" w:rsidRDefault="00100053" w:rsidP="00100053">
      <w:r>
        <w:t xml:space="preserve">And following all their work they did, they proposed that Pholcodine was a very small molecule capable of activating polyclonal IgE synthesis and causing some people to become sensitized to substituted ammonium ions, and hence the hypothesis of the role of Pholcodine was formulated, leading to the withdrawal of this drug from the Norwegian market, after which there was a decrease in the prevalence of IgE-recognizing NMBA-substituted ammonium ions in the general population, as well as a progressive decrease in the rate of reactions to NMBAs. But in fact, the results remained controversial, and so we of course come to the ALPHO study as mentioned by Lene, which I think showed us two very important things. Of course, that Pholcodine exposure was related to sensitization and to a higher risk of reaction when exposed to an NMBA. But it also shows us that professional exposure to quaternary ammonium ions was also a risk factor and perhaps a stronger risk factor than Pholcodine. Another very important point I think that we must note is that the measurement of IgE recognizing quaternary ammonium ion has a very, very good negative predictive value. And I think it can be a tool to study the consequences of several withdrawal of products in the general population. Since, as mentioned by Eric </w:t>
      </w:r>
      <w:proofErr w:type="spellStart"/>
      <w:r>
        <w:t>Florvaag</w:t>
      </w:r>
      <w:proofErr w:type="spellEnd"/>
      <w:r>
        <w:t xml:space="preserve">, we can observe a decrease of the risk in the general population. The results of ALPHO were not really a surprise because we </w:t>
      </w:r>
      <w:r>
        <w:lastRenderedPageBreak/>
        <w:t xml:space="preserve">had in the past conducted a study in collaboration with many teams and with </w:t>
      </w:r>
      <w:proofErr w:type="spellStart"/>
      <w:r>
        <w:t>Florvaag</w:t>
      </w:r>
      <w:proofErr w:type="spellEnd"/>
      <w:r>
        <w:t xml:space="preserve"> regarding the link between folic acid consumption and the prevalence of sensitization in the population of different countries. We immediately noticed that we have a sign of sensitization against substituted ammonium ions in different countries where Pholcodine was not available. So, it was quite a clear link between the two studies. And this was also a confirmation of what we have reported with Jean-Louis </w:t>
      </w:r>
      <w:proofErr w:type="spellStart"/>
      <w:r>
        <w:t>Guéant</w:t>
      </w:r>
      <w:proofErr w:type="spellEnd"/>
      <w:r>
        <w:t xml:space="preserve"> regarding the development of sensitization in the hairdresser population in the ALPHO study, along with people working in baking.  And we, once again, we have clear indications that there was a link with other compounds than Pholcodine, which can play a role in the number of reactions. </w:t>
      </w:r>
    </w:p>
    <w:p w14:paraId="7ECB1CC9" w14:textId="77777777" w:rsidR="00100053" w:rsidRDefault="00100053" w:rsidP="00100053">
      <w:r>
        <w:t xml:space="preserve">So now, what can we do? Of course, I guess that there is still room for epidemiology. And I'm really interested by the paper published by the group of Anne-Marie </w:t>
      </w:r>
      <w:proofErr w:type="spellStart"/>
      <w:r>
        <w:t>Gotthamsen</w:t>
      </w:r>
      <w:proofErr w:type="spellEnd"/>
      <w:r>
        <w:t xml:space="preserve">, in Norway, showing that there was a gender-specific decline in reactions in Norway, mainly for females, and I think that this remains to be explained and I think we have probably to pay attention to that because we know that emergency procedures, obesity are risk factors, but this, I think, is a point that needs to be investigated. And in this regard, I think that the GERAP is probably the right tool to assess the impact of </w:t>
      </w:r>
      <w:r w:rsidRPr="001C2AC8">
        <w:t xml:space="preserve">Pholcodine </w:t>
      </w:r>
      <w:r>
        <w:t>withdrawal in the general population and by gender. So, I think that we will give you a better indication of the changes in the incidence of reactions to NMBAs with time. And this I hope will confirm the results observed in Norway. I think we have also a lot of tasks to do regarding mechanisms. And I know that many of you are very interested by MRGPRX2 receptors, which have been shown to be activated by neuromuscular blocking agents.</w:t>
      </w:r>
    </w:p>
    <w:p w14:paraId="511C3917" w14:textId="77777777" w:rsidR="00100053" w:rsidRDefault="00100053" w:rsidP="00100053">
      <w:r>
        <w:t xml:space="preserve">I'm not sure that we have clear proof of the implication of this receptor, since it is not activated by succinylcholine, which is a major player regarding the risk of reaction to NMBAs. </w:t>
      </w:r>
      <w:r w:rsidRPr="000C7514">
        <w:t>It</w:t>
      </w:r>
      <w:r w:rsidRPr="00605551">
        <w:rPr>
          <w:b/>
          <w:bCs/>
        </w:rPr>
        <w:t xml:space="preserve"> </w:t>
      </w:r>
      <w:r>
        <w:t>has been proposed to summarize the different mechanisms as shown on these slides with the Ig-E mechanisms and the IgG-related mechanism, with thanks to the group of Pasteur for their work revisiting this. But I just remind you that it was the first hypothesis initially proposed regarding these reactions, and of course, MRGPRX2. There are other problems regarding the role of this receptor, and you'll see that the EC50 values required to activate this receptor by atracurium, cisatracurium, mivacurium and rocuronium are much higher than the concentration we use in clinical practice. So, it means that we can imagine, again, that, we have not identified the correct receptors at this time.</w:t>
      </w:r>
    </w:p>
    <w:p w14:paraId="42C6FAC0" w14:textId="77777777" w:rsidR="00100053" w:rsidRDefault="00100053" w:rsidP="00100053">
      <w:r>
        <w:t xml:space="preserve">We know that there are differences between different NMBAs. I just want to remind you of this old work by Koppert and colleagues using microdialysis in the skin of healthy volunteers. You can see that succinylcholine and benzyl-isoquinoline, when you increase the concentration, will result in a progressive local cutaneous increase in histamine and tryptase release, which will follow the increase in drug concentration. </w:t>
      </w:r>
      <w:r>
        <w:lastRenderedPageBreak/>
        <w:t>But things are different with aminosteroids, which are responsible for a rapid increase in histamine, but a delayed increase in tryptase. I've done a lot of work on microdialysis, and I know that it's a very interesting tool to explore intercellular communication. So, we know that there are probably several differences between amino steroids and benzyl-isoquinoline and the mechanisms of reactions. We have indirect indication of that with some published papers.</w:t>
      </w:r>
    </w:p>
    <w:p w14:paraId="668E77F5" w14:textId="77777777" w:rsidR="00100053" w:rsidRDefault="00100053" w:rsidP="00100053">
      <w:proofErr w:type="gramStart"/>
      <w:r>
        <w:t>So</w:t>
      </w:r>
      <w:proofErr w:type="gramEnd"/>
      <w:r>
        <w:t xml:space="preserve"> I think that we need to look at new assays, and I don't know if it's a good idea, as I don't know if it's very easy to use, but antagonists like DNA aptamers and so on can be useful to investigate further the real role of this receptor in our patients. And I just want also to emphasize the importance of neurobiology control in the reactions and specifically in reactions involving the respiratory airways and bronchospasm. And to show that, I remind you the report concerning rapacuronium, a very nice muscle relaxant on the paper, but which was responsible for many deaths in children due to very severe bronchospasm. And in fact, you can see that it's related to a blockade of M2 muscarinic receptor on pre-junctional parasympathetic nerves, which result in the uncontrolled release of acetylcholine in the bronchial tree. So, I think that we have many mechanisms to identify and different phenotypes of reactions and probably we have several with which to make progress. So probably there is not only MRGPX2 but other mechanisms that will be of interest for us.</w:t>
      </w:r>
    </w:p>
    <w:p w14:paraId="029CD48A" w14:textId="77777777" w:rsidR="00100053" w:rsidRDefault="00100053" w:rsidP="00100053">
      <w:r>
        <w:t>I just want also to discuss about the way we can imagine identifying potential sensitizing substances of interest after Pholcodine. We have started to work on this subject. It's not very easy, but you see that it's possible to perform a study of crystallography in silico, which is easier than conducting real crystallization. We have designed a pharmacophore based on the common features of all NMBAs to screen different drugs from the FDA database. And you can see that as a positive control; we have been able to show that all NMBAs fits well with the pharmacophore, but other drugs can also interact directly with the pharmacophore. W</w:t>
      </w:r>
      <w:r w:rsidRPr="0015484B">
        <w:t>e have selected several drugs regarding this association. And you</w:t>
      </w:r>
      <w:r w:rsidRPr="009544FB">
        <w:rPr>
          <w:b/>
          <w:bCs/>
        </w:rPr>
        <w:t xml:space="preserve"> </w:t>
      </w:r>
      <w:r w:rsidRPr="0015484B">
        <w:t>c</w:t>
      </w:r>
      <w:r>
        <w:t>an see that there are some surprising or not surprising drugs. We find Pholcodine, and we are lucky, but we find also other unexpected compounds like chlorhexidine. I think that part of our problem has been that we have designed a pharmacophore considering all the NMBAs, but we can perhaps refine this approach and improve our pharmacophore. My first idea is to come back to the past. We know that alcuronium was responsible for many, many reactions when it was used; and this was the reason why we stopped using it. It has something in common with rocuronium; a propyl-ammonium moiety. And I think that perhaps we can make different pharmacophores with an addition of some specificity of perhaps succinylcholine, rocuronium or alcuronium, just to see if it changes selection of the possible candidates.</w:t>
      </w:r>
    </w:p>
    <w:p w14:paraId="55926023" w14:textId="77777777" w:rsidR="00100053" w:rsidRDefault="00100053" w:rsidP="00100053">
      <w:r>
        <w:lastRenderedPageBreak/>
        <w:t xml:space="preserve">Regarding crystallography, I've been very impressed by the work conducted in Pasteur by the group of Pierre Bruhns, which has been able to produce IgG secreting cells and to induce the production of IgG, which is able to induce a reaction in mice. And I'm really interested by the way they have done on co-crystallization of the interaction between the Ig they have and rocuronium. And I think that perhaps we have something to learn, considering these results, but I </w:t>
      </w:r>
      <w:proofErr w:type="gramStart"/>
      <w:r>
        <w:t>have to</w:t>
      </w:r>
      <w:proofErr w:type="gramEnd"/>
      <w:r>
        <w:t xml:space="preserve"> discuss that further with them to know if it can help us to modify the pharmacophore we are trying to build.</w:t>
      </w:r>
    </w:p>
    <w:p w14:paraId="6B7F0CC9" w14:textId="77777777" w:rsidR="00100053" w:rsidRDefault="00100053" w:rsidP="00100053"/>
    <w:p w14:paraId="041A6559" w14:textId="77777777" w:rsidR="00100053" w:rsidRDefault="00100053" w:rsidP="00100053">
      <w:r>
        <w:t xml:space="preserve">I think we also need new functional tests to investigate the hypotheses we will formulate regarding potential candidates. And I briefly come back to work we did in 2000, when dendritic cells were identified. This work, which is really, really, important, was also very difficult at that period. We produced monocyte-derived dendritic cells from people who reacted to </w:t>
      </w:r>
      <w:proofErr w:type="spellStart"/>
      <w:r>
        <w:t>methadoloxane</w:t>
      </w:r>
      <w:proofErr w:type="spellEnd"/>
      <w:r>
        <w:t xml:space="preserve"> clinically. And we have co-cultured these dendritic cells, matched the dendritic cells in the presence of the offending NMBAs, co-cultured them with the lymphocytes of the same patients, and we have obtained a clear response and a clear T-cell proliferation, showing that, which was not admitted by many of our colleagues, these small compounds were effective recognized by the dendritic cells and presented in a restrictive way to </w:t>
      </w:r>
      <w:proofErr w:type="spellStart"/>
      <w:r>
        <w:t>telo</w:t>
      </w:r>
      <w:proofErr w:type="spellEnd"/>
      <w:r>
        <w:t xml:space="preserve">-lymphocytes. And I'm really happy to see that the group in Bichat continues this work and has investigated the potential role of several quaternary ammonium compounds, polymeric, cyclic, aliphatic, in a very nice series of work and they have been able to identify PQ7, which is used in shower gel, in shampoo, and I've shown that it was able to be presented by monocyte-derived dendritic cells and recognized by a specific </w:t>
      </w:r>
      <w:proofErr w:type="spellStart"/>
      <w:r>
        <w:t>telo</w:t>
      </w:r>
      <w:proofErr w:type="spellEnd"/>
      <w:r>
        <w:t xml:space="preserve"> - receptor. So, I think that if we </w:t>
      </w:r>
      <w:proofErr w:type="gramStart"/>
      <w:r>
        <w:t>are able to</w:t>
      </w:r>
      <w:proofErr w:type="gramEnd"/>
      <w:r>
        <w:t xml:space="preserve"> select some candidates, we have now probably the way to investigate using this functional test. And now with flow cytometry, we didn't need to use radioisotopes and things like that to look at the proliferation. We can select more easily the clones. So, I hope this will be very promising. </w:t>
      </w:r>
    </w:p>
    <w:p w14:paraId="03AEB139" w14:textId="77777777" w:rsidR="00100053" w:rsidRDefault="00100053" w:rsidP="00100053">
      <w:r>
        <w:t>So, to conclude this brief overview of what I think about this subject, I think that the withdrawal of Pholcodine is a real hope for reducing the incidence of reactions and epidemiological data must confirm this reduction and explore the relation with some patients' characteristics. I think we really need new tools, and I know that many of you are working hard on that to improve our understanding of the different mechanisms. We must now clearly try to identify new candidates that could be withdrawn without any important problems from the market. And I think that all this work can help us also probably, perhaps, I hope, to design new NMBAs with an increased safety profile. I thank you very much for your invitation to call for this work to together and, in collaboration, to try to investigate mechanisms because we know now that Pholcodine will not be the end of the story. Thank you for your attention.”</w:t>
      </w:r>
    </w:p>
    <w:sectPr w:rsidR="00100053" w:rsidSect="004A0F5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024F8"/>
    <w:multiLevelType w:val="multilevel"/>
    <w:tmpl w:val="DB922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4C5ADF"/>
    <w:multiLevelType w:val="hybridMultilevel"/>
    <w:tmpl w:val="BF1E9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7159443">
    <w:abstractNumId w:val="0"/>
  </w:num>
  <w:num w:numId="2" w16cid:durableId="661128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10"/>
    <w:rsid w:val="0000147E"/>
    <w:rsid w:val="00002BC2"/>
    <w:rsid w:val="0000643D"/>
    <w:rsid w:val="00007AB1"/>
    <w:rsid w:val="00013F03"/>
    <w:rsid w:val="0002197D"/>
    <w:rsid w:val="00030242"/>
    <w:rsid w:val="00076AE7"/>
    <w:rsid w:val="00076FA6"/>
    <w:rsid w:val="000950B8"/>
    <w:rsid w:val="00095384"/>
    <w:rsid w:val="0009787B"/>
    <w:rsid w:val="000A3F76"/>
    <w:rsid w:val="000A571F"/>
    <w:rsid w:val="000C56CF"/>
    <w:rsid w:val="000D2B31"/>
    <w:rsid w:val="000F04B5"/>
    <w:rsid w:val="000F4498"/>
    <w:rsid w:val="00100053"/>
    <w:rsid w:val="001212DE"/>
    <w:rsid w:val="001316F4"/>
    <w:rsid w:val="001424C1"/>
    <w:rsid w:val="00153A7C"/>
    <w:rsid w:val="00156D04"/>
    <w:rsid w:val="0017002B"/>
    <w:rsid w:val="00174EA5"/>
    <w:rsid w:val="00182975"/>
    <w:rsid w:val="001A4E45"/>
    <w:rsid w:val="001E091B"/>
    <w:rsid w:val="001F3D7E"/>
    <w:rsid w:val="00201C55"/>
    <w:rsid w:val="002053BF"/>
    <w:rsid w:val="00210BE0"/>
    <w:rsid w:val="00236344"/>
    <w:rsid w:val="0025570D"/>
    <w:rsid w:val="0026103E"/>
    <w:rsid w:val="002647DA"/>
    <w:rsid w:val="00265934"/>
    <w:rsid w:val="00275AC3"/>
    <w:rsid w:val="00280BDE"/>
    <w:rsid w:val="00283D1D"/>
    <w:rsid w:val="002913AB"/>
    <w:rsid w:val="002B2EAF"/>
    <w:rsid w:val="002C3A81"/>
    <w:rsid w:val="002F7AC8"/>
    <w:rsid w:val="0030556F"/>
    <w:rsid w:val="00313CF8"/>
    <w:rsid w:val="00323482"/>
    <w:rsid w:val="00347531"/>
    <w:rsid w:val="00363414"/>
    <w:rsid w:val="00366A27"/>
    <w:rsid w:val="00390731"/>
    <w:rsid w:val="003B008D"/>
    <w:rsid w:val="003B0D67"/>
    <w:rsid w:val="003D0CFC"/>
    <w:rsid w:val="003D1DED"/>
    <w:rsid w:val="003D6DFA"/>
    <w:rsid w:val="003F62CF"/>
    <w:rsid w:val="00400E2B"/>
    <w:rsid w:val="00401FC2"/>
    <w:rsid w:val="00405116"/>
    <w:rsid w:val="00417F3C"/>
    <w:rsid w:val="004421B1"/>
    <w:rsid w:val="00456DD9"/>
    <w:rsid w:val="00462E87"/>
    <w:rsid w:val="00481B05"/>
    <w:rsid w:val="004825A9"/>
    <w:rsid w:val="004A0F5F"/>
    <w:rsid w:val="004A68EE"/>
    <w:rsid w:val="004B2280"/>
    <w:rsid w:val="004C57EF"/>
    <w:rsid w:val="004D037E"/>
    <w:rsid w:val="004E40E8"/>
    <w:rsid w:val="004E4D92"/>
    <w:rsid w:val="004F0BE5"/>
    <w:rsid w:val="004F0D74"/>
    <w:rsid w:val="005003EB"/>
    <w:rsid w:val="0050084A"/>
    <w:rsid w:val="00511AE7"/>
    <w:rsid w:val="00515C4A"/>
    <w:rsid w:val="005477A8"/>
    <w:rsid w:val="00556C7D"/>
    <w:rsid w:val="0055738E"/>
    <w:rsid w:val="00574D96"/>
    <w:rsid w:val="005844E8"/>
    <w:rsid w:val="005951CE"/>
    <w:rsid w:val="005B3C17"/>
    <w:rsid w:val="005B3E87"/>
    <w:rsid w:val="005B4F69"/>
    <w:rsid w:val="005D2DB2"/>
    <w:rsid w:val="005F2F79"/>
    <w:rsid w:val="005F3807"/>
    <w:rsid w:val="005F6057"/>
    <w:rsid w:val="00600529"/>
    <w:rsid w:val="00616673"/>
    <w:rsid w:val="00637DDE"/>
    <w:rsid w:val="00645FBC"/>
    <w:rsid w:val="00657E9E"/>
    <w:rsid w:val="00660C8B"/>
    <w:rsid w:val="00665C2D"/>
    <w:rsid w:val="006736D8"/>
    <w:rsid w:val="00676094"/>
    <w:rsid w:val="006A729B"/>
    <w:rsid w:val="006E19ED"/>
    <w:rsid w:val="00701B74"/>
    <w:rsid w:val="007114F5"/>
    <w:rsid w:val="00717D73"/>
    <w:rsid w:val="007372FE"/>
    <w:rsid w:val="00747DBD"/>
    <w:rsid w:val="00754F9C"/>
    <w:rsid w:val="007652C4"/>
    <w:rsid w:val="00771EEB"/>
    <w:rsid w:val="00790EC3"/>
    <w:rsid w:val="007937D7"/>
    <w:rsid w:val="0079757D"/>
    <w:rsid w:val="007A20B5"/>
    <w:rsid w:val="007D4BEE"/>
    <w:rsid w:val="007E542B"/>
    <w:rsid w:val="007E6CC7"/>
    <w:rsid w:val="00801BDC"/>
    <w:rsid w:val="0082261A"/>
    <w:rsid w:val="008246F7"/>
    <w:rsid w:val="008607BE"/>
    <w:rsid w:val="00866528"/>
    <w:rsid w:val="0087125B"/>
    <w:rsid w:val="008A58FB"/>
    <w:rsid w:val="008A6D72"/>
    <w:rsid w:val="008A7D96"/>
    <w:rsid w:val="008E0EF9"/>
    <w:rsid w:val="008E190B"/>
    <w:rsid w:val="008E29E2"/>
    <w:rsid w:val="008F314D"/>
    <w:rsid w:val="0090101C"/>
    <w:rsid w:val="00904BCF"/>
    <w:rsid w:val="009067A0"/>
    <w:rsid w:val="00907B1F"/>
    <w:rsid w:val="009134CE"/>
    <w:rsid w:val="0093378E"/>
    <w:rsid w:val="00934E9D"/>
    <w:rsid w:val="0094486E"/>
    <w:rsid w:val="00991A76"/>
    <w:rsid w:val="009B6AD0"/>
    <w:rsid w:val="00A13445"/>
    <w:rsid w:val="00A47F37"/>
    <w:rsid w:val="00A6111C"/>
    <w:rsid w:val="00A6676E"/>
    <w:rsid w:val="00A87EC2"/>
    <w:rsid w:val="00AA5D58"/>
    <w:rsid w:val="00AC7415"/>
    <w:rsid w:val="00AC7535"/>
    <w:rsid w:val="00AC7683"/>
    <w:rsid w:val="00AD38A4"/>
    <w:rsid w:val="00AD7BAA"/>
    <w:rsid w:val="00B0193B"/>
    <w:rsid w:val="00B01D0D"/>
    <w:rsid w:val="00B13A38"/>
    <w:rsid w:val="00B20852"/>
    <w:rsid w:val="00B45866"/>
    <w:rsid w:val="00B54FEA"/>
    <w:rsid w:val="00BA4C9F"/>
    <w:rsid w:val="00BA720A"/>
    <w:rsid w:val="00BB09FA"/>
    <w:rsid w:val="00BC34BA"/>
    <w:rsid w:val="00BD5147"/>
    <w:rsid w:val="00BE385E"/>
    <w:rsid w:val="00BF32E1"/>
    <w:rsid w:val="00C07126"/>
    <w:rsid w:val="00C4612C"/>
    <w:rsid w:val="00C55B98"/>
    <w:rsid w:val="00C6149C"/>
    <w:rsid w:val="00C80BFE"/>
    <w:rsid w:val="00C824CD"/>
    <w:rsid w:val="00C965EA"/>
    <w:rsid w:val="00CA1DE3"/>
    <w:rsid w:val="00CA5DFA"/>
    <w:rsid w:val="00CA7C2C"/>
    <w:rsid w:val="00D34310"/>
    <w:rsid w:val="00D64258"/>
    <w:rsid w:val="00D65186"/>
    <w:rsid w:val="00D853ED"/>
    <w:rsid w:val="00D95723"/>
    <w:rsid w:val="00DA0B33"/>
    <w:rsid w:val="00DA1DDA"/>
    <w:rsid w:val="00DA42CB"/>
    <w:rsid w:val="00DB1411"/>
    <w:rsid w:val="00DC00F2"/>
    <w:rsid w:val="00DC288C"/>
    <w:rsid w:val="00DD5DED"/>
    <w:rsid w:val="00DF06F9"/>
    <w:rsid w:val="00E404B2"/>
    <w:rsid w:val="00E502DF"/>
    <w:rsid w:val="00E50884"/>
    <w:rsid w:val="00E54526"/>
    <w:rsid w:val="00E55010"/>
    <w:rsid w:val="00E56D61"/>
    <w:rsid w:val="00E66611"/>
    <w:rsid w:val="00E97F8A"/>
    <w:rsid w:val="00EB0283"/>
    <w:rsid w:val="00EB238F"/>
    <w:rsid w:val="00EC2743"/>
    <w:rsid w:val="00EE53B6"/>
    <w:rsid w:val="00EF6F4E"/>
    <w:rsid w:val="00F02637"/>
    <w:rsid w:val="00F12E73"/>
    <w:rsid w:val="00F1562C"/>
    <w:rsid w:val="00F21280"/>
    <w:rsid w:val="00F535A5"/>
    <w:rsid w:val="00F5606C"/>
    <w:rsid w:val="00F71BCB"/>
    <w:rsid w:val="00F85C1B"/>
    <w:rsid w:val="00FA341B"/>
    <w:rsid w:val="00FA46DF"/>
    <w:rsid w:val="00FB1127"/>
    <w:rsid w:val="00FB54EA"/>
    <w:rsid w:val="00FC1A8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AA26F0A"/>
  <w15:chartTrackingRefBased/>
  <w15:docId w15:val="{617A3C72-9ADE-8F42-ABE4-4F121886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310"/>
    <w:rPr>
      <w:rFonts w:eastAsiaTheme="majorEastAsia" w:cstheme="majorBidi"/>
      <w:color w:val="272727" w:themeColor="text1" w:themeTint="D8"/>
    </w:rPr>
  </w:style>
  <w:style w:type="paragraph" w:styleId="Title">
    <w:name w:val="Title"/>
    <w:basedOn w:val="Normal"/>
    <w:next w:val="Normal"/>
    <w:link w:val="TitleChar"/>
    <w:uiPriority w:val="10"/>
    <w:qFormat/>
    <w:rsid w:val="00D34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310"/>
    <w:pPr>
      <w:spacing w:before="160"/>
      <w:jc w:val="center"/>
    </w:pPr>
    <w:rPr>
      <w:i/>
      <w:iCs/>
      <w:color w:val="404040" w:themeColor="text1" w:themeTint="BF"/>
    </w:rPr>
  </w:style>
  <w:style w:type="character" w:customStyle="1" w:styleId="QuoteChar">
    <w:name w:val="Quote Char"/>
    <w:basedOn w:val="DefaultParagraphFont"/>
    <w:link w:val="Quote"/>
    <w:uiPriority w:val="29"/>
    <w:rsid w:val="00D34310"/>
    <w:rPr>
      <w:i/>
      <w:iCs/>
      <w:color w:val="404040" w:themeColor="text1" w:themeTint="BF"/>
    </w:rPr>
  </w:style>
  <w:style w:type="paragraph" w:styleId="ListParagraph">
    <w:name w:val="List Paragraph"/>
    <w:basedOn w:val="Normal"/>
    <w:uiPriority w:val="34"/>
    <w:qFormat/>
    <w:rsid w:val="00D34310"/>
    <w:pPr>
      <w:ind w:left="720"/>
      <w:contextualSpacing/>
    </w:pPr>
  </w:style>
  <w:style w:type="character" w:styleId="IntenseEmphasis">
    <w:name w:val="Intense Emphasis"/>
    <w:basedOn w:val="DefaultParagraphFont"/>
    <w:uiPriority w:val="21"/>
    <w:qFormat/>
    <w:rsid w:val="00D34310"/>
    <w:rPr>
      <w:i/>
      <w:iCs/>
      <w:color w:val="0F4761" w:themeColor="accent1" w:themeShade="BF"/>
    </w:rPr>
  </w:style>
  <w:style w:type="paragraph" w:styleId="IntenseQuote">
    <w:name w:val="Intense Quote"/>
    <w:basedOn w:val="Normal"/>
    <w:next w:val="Normal"/>
    <w:link w:val="IntenseQuoteChar"/>
    <w:uiPriority w:val="30"/>
    <w:qFormat/>
    <w:rsid w:val="00D34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310"/>
    <w:rPr>
      <w:i/>
      <w:iCs/>
      <w:color w:val="0F4761" w:themeColor="accent1" w:themeShade="BF"/>
    </w:rPr>
  </w:style>
  <w:style w:type="character" w:styleId="IntenseReference">
    <w:name w:val="Intense Reference"/>
    <w:basedOn w:val="DefaultParagraphFont"/>
    <w:uiPriority w:val="32"/>
    <w:qFormat/>
    <w:rsid w:val="00D34310"/>
    <w:rPr>
      <w:b/>
      <w:bCs/>
      <w:smallCaps/>
      <w:color w:val="0F4761" w:themeColor="accent1" w:themeShade="BF"/>
      <w:spacing w:val="5"/>
    </w:rPr>
  </w:style>
  <w:style w:type="character" w:styleId="Strong">
    <w:name w:val="Strong"/>
    <w:basedOn w:val="DefaultParagraphFont"/>
    <w:uiPriority w:val="22"/>
    <w:qFormat/>
    <w:rsid w:val="00100053"/>
    <w:rPr>
      <w:b/>
      <w:bCs/>
    </w:rPr>
  </w:style>
  <w:style w:type="character" w:styleId="Emphasis">
    <w:name w:val="Emphasis"/>
    <w:basedOn w:val="DefaultParagraphFont"/>
    <w:uiPriority w:val="20"/>
    <w:qFormat/>
    <w:rsid w:val="001000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Dr Sarah Green</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Green</dc:creator>
  <cp:keywords/>
  <dc:description/>
  <cp:lastModifiedBy>Sarah Green</cp:lastModifiedBy>
  <cp:revision>4</cp:revision>
  <dcterms:created xsi:type="dcterms:W3CDTF">2025-11-30T05:03:00Z</dcterms:created>
  <dcterms:modified xsi:type="dcterms:W3CDTF">2025-11-30T05:23:00Z</dcterms:modified>
</cp:coreProperties>
</file>